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7C214E" w:rsidRDefault="007C214E" w:rsidP="00EA5467">
      <w:pPr>
        <w:pStyle w:val="NoSpacing"/>
        <w:rPr>
          <w:rStyle w:val="FontStyle86"/>
          <w:rFonts w:ascii="Times New Roman" w:hAnsi="Times New Roman"/>
          <w:i w:val="0"/>
        </w:rPr>
      </w:pPr>
      <w:r>
        <w:rPr>
          <w:rStyle w:val="FontStyle86"/>
          <w:rFonts w:ascii="Times New Roman" w:hAnsi="Times New Roman"/>
          <w:i w:val="0"/>
        </w:rPr>
        <w:t>Председник општине</w:t>
      </w:r>
    </w:p>
    <w:p w:rsidR="00EA5467" w:rsidRPr="003E4914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E4914">
        <w:rPr>
          <w:rStyle w:val="FontStyle86"/>
          <w:rFonts w:ascii="Times New Roman" w:hAnsi="Times New Roman"/>
          <w:i w:val="0"/>
        </w:rPr>
        <w:t>122/0</w:t>
      </w:r>
      <w:r w:rsidR="00106AE1">
        <w:rPr>
          <w:rStyle w:val="FontStyle86"/>
          <w:rFonts w:ascii="Times New Roman" w:hAnsi="Times New Roman"/>
          <w:i w:val="0"/>
        </w:rPr>
        <w:t>8</w:t>
      </w:r>
      <w:r w:rsidR="003E4914">
        <w:rPr>
          <w:rStyle w:val="FontStyle86"/>
          <w:rFonts w:ascii="Times New Roman" w:hAnsi="Times New Roman"/>
          <w:i w:val="0"/>
        </w:rPr>
        <w:t>/2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106AE1">
        <w:rPr>
          <w:rStyle w:val="FontStyle86"/>
          <w:rFonts w:ascii="Times New Roman" w:hAnsi="Times New Roman"/>
          <w:i w:val="0"/>
        </w:rPr>
        <w:t>1</w:t>
      </w:r>
      <w:r w:rsidR="000F5132">
        <w:rPr>
          <w:rStyle w:val="FontStyle86"/>
          <w:rFonts w:ascii="Times New Roman" w:hAnsi="Times New Roman"/>
          <w:i w:val="0"/>
        </w:rPr>
        <w:t>3.12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611B6" w:rsidRDefault="007338F5" w:rsidP="00430463">
      <w:pPr>
        <w:pStyle w:val="NoSpacing"/>
        <w:jc w:val="both"/>
        <w:rPr>
          <w:rStyle w:val="FontStyle86"/>
          <w:rFonts w:ascii="Times New Roman" w:hAnsi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106AE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радова на уклањању (рушењу) објекта Стара школа у Александрову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F447D" w:rsidRPr="000F447D" w:rsidRDefault="000F447D" w:rsidP="00430463">
      <w:pPr>
        <w:pStyle w:val="NoSpacing"/>
        <w:jc w:val="both"/>
        <w:rPr>
          <w:rFonts w:ascii="Times New Roman" w:hAnsi="Times New Roman" w:cs="Book Antiqua"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106AE1" w:rsidP="00E611B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  <w:r w:rsidR="000F5132">
              <w:rPr>
                <w:rFonts w:ascii="Times New Roman" w:hAnsi="Times New Roman"/>
                <w:szCs w:val="20"/>
              </w:rPr>
              <w:t>.12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106AE1" w:rsidRPr="00106AE1" w:rsidRDefault="00106AE1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106AE1">
              <w:rPr>
                <w:rFonts w:ascii="Times New Roman" w:eastAsia="TimesNewRomanPSMT" w:hAnsi="Times New Roman"/>
                <w:b/>
                <w:bCs/>
              </w:rPr>
              <w:t>НАПОМЕНА: Понуда се не може доставити електронском поштом</w:t>
            </w:r>
            <w:r>
              <w:rPr>
                <w:rFonts w:ascii="Times New Roman" w:eastAsia="TimesNewRomanPSMT" w:hAnsi="Times New Roman"/>
                <w:b/>
                <w:bCs/>
              </w:rPr>
              <w:t>.</w:t>
            </w:r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7C214E" w:rsidRDefault="007C214E" w:rsidP="003E491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Најнижа понуђена цена</w:t>
            </w:r>
          </w:p>
          <w:p w:rsidR="007338F5" w:rsidRPr="00620A1C" w:rsidRDefault="003E4914" w:rsidP="007C214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</w:t>
            </w:r>
            <w:r w:rsidR="007338F5"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06AE1" w:rsidTr="00EC424A">
        <w:tc>
          <w:tcPr>
            <w:tcW w:w="1638" w:type="dxa"/>
          </w:tcPr>
          <w:p w:rsidR="00106AE1" w:rsidRPr="00ED7006" w:rsidRDefault="00106AE1" w:rsidP="00C43D0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06AE1" w:rsidRDefault="00106AE1" w:rsidP="00C43D0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06AE1" w:rsidRDefault="00106AE1" w:rsidP="000F5132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06AE1" w:rsidRDefault="005D292F" w:rsidP="00106AE1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0F5132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у </w:t>
      </w:r>
      <w:proofErr w:type="spellStart"/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затвореној</w:t>
      </w:r>
      <w:proofErr w:type="spellEnd"/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коверти</w:t>
      </w:r>
      <w:proofErr w:type="spellEnd"/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с</w:t>
      </w:r>
      <w:r w:rsidR="00106AE1"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а назнаком</w:t>
      </w:r>
      <w:r w:rsidR="00106AE1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: </w:t>
      </w:r>
      <w:r w:rsidR="00106AE1"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06AE1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</w:t>
      </w:r>
      <w:r w:rsidR="00106AE1">
        <w:rPr>
          <w:rStyle w:val="FontStyle86"/>
          <w:rFonts w:ascii="Times New Roman" w:hAnsi="Times New Roman" w:cs="Times New Roman"/>
          <w:i w:val="0"/>
          <w:lang w:val="sr-Cyrl-CS"/>
        </w:rPr>
        <w:t>набавку</w:t>
      </w:r>
      <w:r w:rsidR="00106AE1" w:rsidRPr="00E611B6">
        <w:rPr>
          <w:rStyle w:val="FontStyle86"/>
          <w:rFonts w:ascii="Times New Roman" w:hAnsi="Times New Roman" w:cs="Times New Roman"/>
          <w:i w:val="0"/>
          <w:lang w:val="sr-Cyrl-CS"/>
        </w:rPr>
        <w:t xml:space="preserve"> </w:t>
      </w:r>
      <w:r w:rsidR="00106AE1" w:rsidRPr="00106AE1">
        <w:rPr>
          <w:rStyle w:val="FontStyle86"/>
          <w:rFonts w:ascii="Times New Roman" w:hAnsi="Times New Roman" w:cs="Times New Roman"/>
          <w:i w:val="0"/>
          <w:lang w:val="sr-Cyrl-CS"/>
        </w:rPr>
        <w:t>радова на уклањању (рушењу) објекта Стара школа у Александрову</w:t>
      </w:r>
      <w:r w:rsidR="00106AE1">
        <w:rPr>
          <w:rStyle w:val="FontStyle86"/>
          <w:rFonts w:ascii="Times New Roman" w:hAnsi="Times New Roman"/>
          <w:i w:val="0"/>
        </w:rPr>
        <w:t>,</w:t>
      </w:r>
      <w:r w:rsidR="00106AE1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106AE1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106AE1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8</w:t>
      </w:r>
      <w:r w:rsidR="00106AE1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106AE1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 – НЕ ОТВАРАТИ“</w:t>
      </w:r>
    </w:p>
    <w:p w:rsidR="000F5132" w:rsidRPr="00106AE1" w:rsidRDefault="000F5132" w:rsidP="000F5132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sz w:val="24"/>
          <w:szCs w:val="24"/>
          <w:lang w:eastAsia="sr-Cyrl-CS"/>
        </w:rPr>
      </w:pPr>
    </w:p>
    <w:p w:rsidR="00E611B6" w:rsidRPr="000F5132" w:rsidRDefault="00E611B6" w:rsidP="007C214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7C214E" w:rsidRDefault="003E4914" w:rsidP="007C214E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 МЕРОШИНА</w:t>
      </w: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2D378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</w:t>
      </w:r>
      <w:r w:rsidR="003E491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  <w:r w:rsidR="00BF0C8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6F2B7E" w:rsidRPr="000F5132" w:rsidRDefault="003E4914" w:rsidP="000F5132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</w:t>
      </w:r>
      <w:r w:rsidR="007C214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</w:t>
      </w:r>
      <w:r w:rsidR="000F5132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2D378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  <w:r w:rsidR="00BC57E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0F447D" w:rsidRDefault="000F447D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3781" w:rsidRDefault="002D378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3781" w:rsidRDefault="002D378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3781" w:rsidRDefault="002D378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3781" w:rsidRDefault="002D378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3781" w:rsidRPr="002D3781" w:rsidRDefault="002D378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06AE1" w:rsidRPr="00106AE1" w:rsidRDefault="00106AE1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106AE1" w:rsidRDefault="00397B8A" w:rsidP="00397B8A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  <w:lang w:val="sr-Cyrl-CS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106AE1" w:rsidRPr="00106AE1">
        <w:rPr>
          <w:rStyle w:val="FontStyle86"/>
          <w:rFonts w:ascii="Times New Roman" w:hAnsi="Times New Roman" w:cs="Times New Roman"/>
          <w:i w:val="0"/>
          <w:lang w:val="sr-Cyrl-CS"/>
        </w:rPr>
        <w:t>радова на уклањању (рушењу) објекта Стара школа у Александрову</w:t>
      </w:r>
    </w:p>
    <w:p w:rsidR="00430E53" w:rsidRPr="00A147B2" w:rsidRDefault="00430E53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397B8A" w:rsidRPr="009A2DBD" w:rsidTr="00043456">
        <w:tc>
          <w:tcPr>
            <w:tcW w:w="1035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106AE1" w:rsidRDefault="00106AE1" w:rsidP="00106AE1">
      <w:pPr>
        <w:pStyle w:val="NoSpacing"/>
        <w:jc w:val="both"/>
        <w:rPr>
          <w:rFonts w:ascii="Times New Roman" w:hAnsi="Times New Roman"/>
          <w:lang w:eastAsia="sr-Cyrl-CS"/>
        </w:rPr>
      </w:pPr>
    </w:p>
    <w:p w:rsidR="00106AE1" w:rsidRDefault="00106AE1" w:rsidP="00106AE1">
      <w:pPr>
        <w:pStyle w:val="NoSpacing"/>
        <w:jc w:val="center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СПЕЦИФИКАЦИЈА</w:t>
      </w:r>
    </w:p>
    <w:p w:rsidR="00106AE1" w:rsidRDefault="00106AE1" w:rsidP="00106AE1">
      <w:pPr>
        <w:pStyle w:val="NoSpacing"/>
        <w:jc w:val="center"/>
        <w:rPr>
          <w:rFonts w:ascii="Times New Roman" w:hAnsi="Times New Roman"/>
          <w:lang w:eastAsia="sr-Cyrl-CS"/>
        </w:rPr>
      </w:pPr>
    </w:p>
    <w:p w:rsidR="00106AE1" w:rsidRPr="00CB7BB4" w:rsidRDefault="00106AE1" w:rsidP="00106AE1">
      <w:pPr>
        <w:pStyle w:val="NoSpacing"/>
        <w:jc w:val="both"/>
        <w:rPr>
          <w:rFonts w:ascii="Times New Roman" w:hAnsi="Times New Roman"/>
        </w:rPr>
      </w:pPr>
      <w:r w:rsidRPr="00CB7BB4">
        <w:rPr>
          <w:rFonts w:ascii="Times New Roman" w:hAnsi="Times New Roman"/>
        </w:rPr>
        <w:t xml:space="preserve">ОПИС: </w:t>
      </w:r>
      <w:proofErr w:type="spellStart"/>
      <w:r w:rsidRPr="00CB7BB4">
        <w:rPr>
          <w:rFonts w:ascii="Times New Roman" w:hAnsi="Times New Roman"/>
        </w:rPr>
        <w:t>Машинско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рушење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предвиђа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употребом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багера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точкаша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као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радне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машине</w:t>
      </w:r>
      <w:proofErr w:type="spellEnd"/>
      <w:r w:rsidRPr="00CB7BB4">
        <w:rPr>
          <w:rFonts w:ascii="Times New Roman" w:hAnsi="Times New Roman"/>
        </w:rPr>
        <w:t xml:space="preserve">, </w:t>
      </w:r>
      <w:proofErr w:type="spellStart"/>
      <w:r w:rsidRPr="00CB7BB4">
        <w:rPr>
          <w:rFonts w:ascii="Times New Roman" w:hAnsi="Times New Roman"/>
        </w:rPr>
        <w:t>дејством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хоризонталне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силе</w:t>
      </w:r>
      <w:proofErr w:type="spellEnd"/>
      <w:r w:rsidRPr="00CB7BB4">
        <w:rPr>
          <w:rFonts w:ascii="Times New Roman" w:hAnsi="Times New Roman"/>
        </w:rPr>
        <w:t xml:space="preserve">, </w:t>
      </w:r>
      <w:proofErr w:type="spellStart"/>
      <w:r w:rsidRPr="00CB7BB4">
        <w:rPr>
          <w:rFonts w:ascii="Times New Roman" w:hAnsi="Times New Roman"/>
        </w:rPr>
        <w:t>руше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зидови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објекта</w:t>
      </w:r>
      <w:proofErr w:type="spellEnd"/>
      <w:r w:rsidRPr="00CB7BB4">
        <w:rPr>
          <w:rFonts w:ascii="Times New Roman" w:hAnsi="Times New Roman"/>
        </w:rPr>
        <w:t xml:space="preserve">. </w:t>
      </w:r>
      <w:proofErr w:type="spellStart"/>
      <w:proofErr w:type="gramStart"/>
      <w:r w:rsidRPr="00CB7BB4">
        <w:rPr>
          <w:rFonts w:ascii="Times New Roman" w:hAnsi="Times New Roman"/>
        </w:rPr>
        <w:t>Као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радни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орган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може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користити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пнеуматски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или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вибраторски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чекић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који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користи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својим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дејством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руши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бетон</w:t>
      </w:r>
      <w:proofErr w:type="spellEnd"/>
      <w:r w:rsidRPr="00CB7BB4">
        <w:rPr>
          <w:rFonts w:ascii="Times New Roman" w:hAnsi="Times New Roman"/>
        </w:rPr>
        <w:t xml:space="preserve">, </w:t>
      </w:r>
      <w:proofErr w:type="spellStart"/>
      <w:r w:rsidRPr="00CB7BB4">
        <w:rPr>
          <w:rFonts w:ascii="Times New Roman" w:hAnsi="Times New Roman"/>
        </w:rPr>
        <w:t>камен</w:t>
      </w:r>
      <w:proofErr w:type="spellEnd"/>
      <w:r w:rsidRPr="00CB7BB4">
        <w:rPr>
          <w:rFonts w:ascii="Times New Roman" w:hAnsi="Times New Roman"/>
        </w:rPr>
        <w:t xml:space="preserve"> и </w:t>
      </w:r>
      <w:proofErr w:type="spellStart"/>
      <w:r w:rsidRPr="00CB7BB4">
        <w:rPr>
          <w:rFonts w:ascii="Times New Roman" w:hAnsi="Times New Roman"/>
        </w:rPr>
        <w:t>цигле</w:t>
      </w:r>
      <w:proofErr w:type="spellEnd"/>
      <w:r w:rsidRPr="00CB7BB4">
        <w:rPr>
          <w:rFonts w:ascii="Times New Roman" w:hAnsi="Times New Roman"/>
        </w:rPr>
        <w:t>.</w:t>
      </w:r>
      <w:proofErr w:type="gramEnd"/>
      <w:r w:rsidRPr="00CB7BB4">
        <w:rPr>
          <w:rFonts w:ascii="Times New Roman" w:hAnsi="Times New Roman"/>
        </w:rPr>
        <w:t xml:space="preserve"> </w:t>
      </w:r>
      <w:proofErr w:type="spellStart"/>
      <w:proofErr w:type="gramStart"/>
      <w:r w:rsidRPr="00CB7BB4">
        <w:rPr>
          <w:rFonts w:ascii="Times New Roman" w:hAnsi="Times New Roman"/>
        </w:rPr>
        <w:t>Свако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уклањање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носивог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елемента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које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би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могло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угрозити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стабилност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другог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елемента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захтева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истовремено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рушење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оба</w:t>
      </w:r>
      <w:proofErr w:type="spellEnd"/>
      <w:r w:rsidRPr="00CB7BB4">
        <w:rPr>
          <w:rFonts w:ascii="Times New Roman" w:hAnsi="Times New Roman"/>
        </w:rPr>
        <w:t>.</w:t>
      </w:r>
      <w:proofErr w:type="gramEnd"/>
      <w:r w:rsidRPr="00CB7BB4">
        <w:rPr>
          <w:rFonts w:ascii="Times New Roman" w:hAnsi="Times New Roman"/>
        </w:rPr>
        <w:t xml:space="preserve"> </w:t>
      </w:r>
      <w:proofErr w:type="spellStart"/>
      <w:proofErr w:type="gramStart"/>
      <w:r w:rsidRPr="00CB7BB4">
        <w:rPr>
          <w:rFonts w:ascii="Times New Roman" w:hAnsi="Times New Roman"/>
        </w:rPr>
        <w:t>Разлабављени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делови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зидова</w:t>
      </w:r>
      <w:proofErr w:type="spellEnd"/>
      <w:r w:rsidRPr="00CB7BB4">
        <w:rPr>
          <w:rFonts w:ascii="Times New Roman" w:hAnsi="Times New Roman"/>
        </w:rPr>
        <w:t xml:space="preserve"> и </w:t>
      </w:r>
      <w:proofErr w:type="spellStart"/>
      <w:r w:rsidRPr="00CB7BB4">
        <w:rPr>
          <w:rFonts w:ascii="Times New Roman" w:hAnsi="Times New Roman"/>
        </w:rPr>
        <w:t>међуспратне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конструкције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морају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одмах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рушити</w:t>
      </w:r>
      <w:proofErr w:type="spellEnd"/>
      <w:r w:rsidRPr="00CB7BB4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континуитету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стабилне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целине</w:t>
      </w:r>
      <w:proofErr w:type="spellEnd"/>
      <w:r>
        <w:rPr>
          <w:rFonts w:ascii="Times New Roman" w:hAnsi="Times New Roman"/>
        </w:rPr>
        <w:t>, у</w:t>
      </w:r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супротном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може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доћи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до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самоурушавања</w:t>
      </w:r>
      <w:proofErr w:type="spellEnd"/>
      <w:r w:rsidRPr="00CB7BB4">
        <w:rPr>
          <w:rFonts w:ascii="Times New Roman" w:hAnsi="Times New Roman"/>
        </w:rPr>
        <w:t>.</w:t>
      </w:r>
      <w:proofErr w:type="gramEnd"/>
      <w:r w:rsidRPr="00CB7BB4">
        <w:rPr>
          <w:rFonts w:ascii="Times New Roman" w:hAnsi="Times New Roman"/>
        </w:rPr>
        <w:t xml:space="preserve"> </w:t>
      </w:r>
    </w:p>
    <w:p w:rsidR="00106AE1" w:rsidRPr="00CB7BB4" w:rsidRDefault="00106AE1" w:rsidP="00106AE1">
      <w:pPr>
        <w:pStyle w:val="NoSpacing"/>
        <w:jc w:val="both"/>
        <w:rPr>
          <w:rFonts w:ascii="Times New Roman" w:hAnsi="Times New Roman"/>
        </w:rPr>
      </w:pPr>
      <w:proofErr w:type="spellStart"/>
      <w:proofErr w:type="gramStart"/>
      <w:r w:rsidRPr="00CB7BB4">
        <w:rPr>
          <w:rFonts w:ascii="Times New Roman" w:hAnsi="Times New Roman"/>
        </w:rPr>
        <w:t>Објекат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се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налази</w:t>
      </w:r>
      <w:proofErr w:type="spellEnd"/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на</w:t>
      </w:r>
      <w:proofErr w:type="spellEnd"/>
      <w:r w:rsidRPr="00CB7BB4">
        <w:rPr>
          <w:rFonts w:ascii="Times New Roman" w:hAnsi="Times New Roman"/>
        </w:rPr>
        <w:t xml:space="preserve"> КП 547</w:t>
      </w:r>
      <w:r>
        <w:rPr>
          <w:rFonts w:ascii="Times New Roman" w:hAnsi="Times New Roman"/>
        </w:rPr>
        <w:t xml:space="preserve"> КO</w:t>
      </w:r>
      <w:r w:rsidRPr="00CB7BB4">
        <w:rPr>
          <w:rFonts w:ascii="Times New Roman" w:hAnsi="Times New Roman"/>
        </w:rPr>
        <w:t xml:space="preserve"> </w:t>
      </w:r>
      <w:proofErr w:type="spellStart"/>
      <w:r w:rsidRPr="00CB7BB4">
        <w:rPr>
          <w:rFonts w:ascii="Times New Roman" w:hAnsi="Times New Roman"/>
        </w:rPr>
        <w:t>Aлександрово</w:t>
      </w:r>
      <w:proofErr w:type="spellEnd"/>
      <w:r w:rsidRPr="00CB7BB4">
        <w:rPr>
          <w:rFonts w:ascii="Times New Roman" w:hAnsi="Times New Roman"/>
        </w:rPr>
        <w:t>.</w:t>
      </w:r>
      <w:proofErr w:type="gramEnd"/>
    </w:p>
    <w:p w:rsidR="00106AE1" w:rsidRDefault="00106AE1" w:rsidP="00397B8A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122"/>
        <w:gridCol w:w="3764"/>
        <w:gridCol w:w="1229"/>
        <w:gridCol w:w="1159"/>
        <w:gridCol w:w="1489"/>
        <w:gridCol w:w="1587"/>
      </w:tblGrid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2D3781" w:rsidRDefault="00106AE1" w:rsidP="004030EA">
            <w:pPr>
              <w:rPr>
                <w:rFonts w:ascii="Times New Roman" w:hAnsi="Times New Roman"/>
                <w:sz w:val="24"/>
                <w:szCs w:val="24"/>
                <w:lang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јед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</w:tr>
      <w:tr w:rsidR="002D3781" w:rsidRPr="00106AE1" w:rsidTr="004925CC">
        <w:trPr>
          <w:trHeight w:val="3312"/>
        </w:trPr>
        <w:tc>
          <w:tcPr>
            <w:tcW w:w="1122" w:type="dxa"/>
          </w:tcPr>
          <w:p w:rsidR="002D3781" w:rsidRPr="00106AE1" w:rsidRDefault="002D378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  <w:vAlign w:val="center"/>
          </w:tcPr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Скидање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кровног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покривача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црепа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заједно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летвама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Скинути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цреп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безбедан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начин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Шут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прикупити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спустити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изнети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камион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одвести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урачуната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потребна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AE1">
              <w:rPr>
                <w:rFonts w:ascii="Times New Roman" w:hAnsi="Times New Roman"/>
                <w:sz w:val="24"/>
                <w:szCs w:val="24"/>
              </w:rPr>
              <w:t>скела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Обрачун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косе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пројекције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позиције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обухватити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комплетан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89" w:type="dxa"/>
            <w:vAlign w:val="center"/>
          </w:tcPr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2D3781" w:rsidRPr="00106AE1" w:rsidRDefault="002D378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Демонтажа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дрвене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кровне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конструкције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рогова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Све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елементе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скинути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безбедан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lastRenderedPageBreak/>
              <w:t>начин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прикупити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спустити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изнети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камион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одвести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урачуната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потребна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скела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урачуната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демонтажа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дрвене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надстрешнице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заједно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стубовима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кровном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конструкцијом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Обрачун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хоризонталне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пројекције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позиције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Рушење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спољашњих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унутрашњих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преградних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омалтерисаних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зидова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пуне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опеке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различите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дебљине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зиданих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продужном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малтеру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заједно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хоризонталним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серклажима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AE1">
              <w:rPr>
                <w:rFonts w:ascii="Times New Roman" w:hAnsi="Times New Roman"/>
                <w:sz w:val="24"/>
                <w:szCs w:val="24"/>
              </w:rPr>
              <w:t>укрућење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чишћење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шута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камион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порушеног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урачуната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демонтажа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Обрачун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порушеног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зида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опису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обухватити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комплетан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 xml:space="preserve">НАПОМЕНА: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Приликом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рушења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зидова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пажљиво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изводити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предузети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све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безбедност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радника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суседних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Рушење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плоче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тлу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урачунато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рушење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прикупљање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шута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пренос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депонију.Обрачун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хоризонталне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пројекције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плоче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Ценом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обухватити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комплетан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Разбијање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бетонских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самаца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пикамером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Разбијање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бетонских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тракастих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пикамером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истовар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сечење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стабала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10-30цм.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сечење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стабала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изнад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корена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кресање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грана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резање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стабле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сечење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стабала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50цм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сечење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стабала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изнад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корена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кресање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грана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резање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стабле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Машинско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вађење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пањева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Рашчишћавање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ситног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растиња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шибља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жбуња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утовар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одвоз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1122" w:type="dxa"/>
          </w:tcPr>
          <w:p w:rsidR="00106AE1" w:rsidRPr="00106AE1" w:rsidRDefault="00106AE1" w:rsidP="00403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4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Машинско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равњање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пеглање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месту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стари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комплетног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106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AE1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</w:p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m</w:t>
            </w:r>
            <w:r w:rsidRPr="00106AE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  <w:r w:rsidRPr="00106AE1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89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E1" w:rsidRPr="00106AE1" w:rsidTr="002D3781">
        <w:tc>
          <w:tcPr>
            <w:tcW w:w="8763" w:type="dxa"/>
            <w:gridSpan w:val="5"/>
          </w:tcPr>
          <w:p w:rsidR="00106AE1" w:rsidRPr="00106AE1" w:rsidRDefault="00106AE1" w:rsidP="0010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 БЕЗ ПДВ-А</w:t>
            </w: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</w:rPr>
            </w:pPr>
          </w:p>
        </w:tc>
      </w:tr>
      <w:tr w:rsidR="00106AE1" w:rsidRPr="00106AE1" w:rsidTr="002D3781">
        <w:tc>
          <w:tcPr>
            <w:tcW w:w="8763" w:type="dxa"/>
            <w:gridSpan w:val="5"/>
          </w:tcPr>
          <w:p w:rsidR="00106AE1" w:rsidRPr="00106AE1" w:rsidRDefault="00106AE1" w:rsidP="0010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ИЗНОС ПДВ-А</w:t>
            </w: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</w:rPr>
            </w:pPr>
          </w:p>
        </w:tc>
      </w:tr>
      <w:tr w:rsidR="00106AE1" w:rsidRPr="00106AE1" w:rsidTr="002D3781">
        <w:tc>
          <w:tcPr>
            <w:tcW w:w="8763" w:type="dxa"/>
            <w:gridSpan w:val="5"/>
          </w:tcPr>
          <w:p w:rsidR="00106AE1" w:rsidRPr="00106AE1" w:rsidRDefault="00106AE1" w:rsidP="00106AE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 СА ПДВ-ОМ</w:t>
            </w:r>
          </w:p>
        </w:tc>
        <w:tc>
          <w:tcPr>
            <w:tcW w:w="1587" w:type="dxa"/>
            <w:vAlign w:val="center"/>
          </w:tcPr>
          <w:p w:rsidR="00106AE1" w:rsidRPr="00106AE1" w:rsidRDefault="00106AE1" w:rsidP="004030EA">
            <w:pPr>
              <w:rPr>
                <w:rFonts w:ascii="Times New Roman" w:hAnsi="Times New Roman"/>
              </w:rPr>
            </w:pPr>
          </w:p>
        </w:tc>
      </w:tr>
    </w:tbl>
    <w:p w:rsidR="00106AE1" w:rsidRPr="00106AE1" w:rsidRDefault="00106AE1" w:rsidP="00397B8A">
      <w:pPr>
        <w:rPr>
          <w:rFonts w:ascii="Times New Roman" w:hAnsi="Times New Roman"/>
          <w:lang w:eastAsia="sr-Cyrl-CS"/>
        </w:rPr>
      </w:pPr>
    </w:p>
    <w:p w:rsidR="00397B8A" w:rsidRPr="007C214E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  <w:r w:rsidR="007C214E">
        <w:rPr>
          <w:rFonts w:ascii="Times New Roman" w:hAnsi="Times New Roman"/>
          <w:lang w:eastAsia="sr-Cyrl-CS"/>
        </w:rPr>
        <w:t>______</w:t>
      </w:r>
    </w:p>
    <w:p w:rsidR="0084243C" w:rsidRPr="003E4914" w:rsidRDefault="00397B8A" w:rsidP="007C214E">
      <w:pPr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</w:t>
      </w:r>
      <w:r w:rsidR="007C214E">
        <w:rPr>
          <w:rFonts w:ascii="Times New Roman" w:hAnsi="Times New Roman"/>
          <w:lang w:eastAsia="sr-Cyrl-CS"/>
        </w:rPr>
        <w:t>_____</w:t>
      </w: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  <w:r w:rsidR="007C214E">
        <w:rPr>
          <w:rFonts w:ascii="Times New Roman" w:hAnsi="Times New Roman"/>
          <w:lang w:eastAsia="sr-Cyrl-CS"/>
        </w:rPr>
        <w:t xml:space="preserve">                        </w:t>
      </w:r>
      <w:r w:rsidR="00334293">
        <w:rPr>
          <w:rFonts w:ascii="Times New Roman" w:hAnsi="Times New Roman"/>
          <w:lang w:eastAsia="sr-Cyrl-CS"/>
        </w:rPr>
        <w:t xml:space="preserve">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7447C" w:rsidRPr="007C214E" w:rsidRDefault="007C214E" w:rsidP="007C214E">
      <w:pPr>
        <w:tabs>
          <w:tab w:val="left" w:pos="6735"/>
        </w:tabs>
        <w:rPr>
          <w:lang w:eastAsia="ar-SA"/>
        </w:rPr>
      </w:pPr>
      <w:r>
        <w:rPr>
          <w:lang w:eastAsia="ar-SA"/>
        </w:rPr>
        <w:tab/>
        <w:t>_____________________</w:t>
      </w:r>
    </w:p>
    <w:p w:rsidR="00EE73B5" w:rsidRPr="00426A83" w:rsidRDefault="00EE73B5" w:rsidP="00426A83">
      <w:pPr>
        <w:rPr>
          <w:lang w:eastAsia="ar-SA"/>
        </w:rPr>
      </w:pPr>
    </w:p>
    <w:p w:rsidR="0037447C" w:rsidRPr="00106AE1" w:rsidRDefault="0037447C" w:rsidP="0037447C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</w:t>
      </w:r>
      <w:r w:rsidR="00106AE1">
        <w:rPr>
          <w:rFonts w:ascii="Times New Roman" w:hAnsi="Times New Roman"/>
          <w:lang w:eastAsia="sr-Cyrl-CS"/>
        </w:rPr>
        <w:t xml:space="preserve">                 </w:t>
      </w:r>
    </w:p>
    <w:sectPr w:rsidR="0037447C" w:rsidRPr="00106AE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9556C6"/>
    <w:multiLevelType w:val="hybridMultilevel"/>
    <w:tmpl w:val="2A56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093C"/>
    <w:multiLevelType w:val="hybridMultilevel"/>
    <w:tmpl w:val="84705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09813F56"/>
    <w:multiLevelType w:val="hybridMultilevel"/>
    <w:tmpl w:val="2F72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ED6E12"/>
    <w:multiLevelType w:val="hybridMultilevel"/>
    <w:tmpl w:val="E4EA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1151"/>
    <w:multiLevelType w:val="hybridMultilevel"/>
    <w:tmpl w:val="01427FE8"/>
    <w:lvl w:ilvl="0" w:tplc="8AC07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60B82F19"/>
    <w:multiLevelType w:val="hybridMultilevel"/>
    <w:tmpl w:val="6A96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D48F1"/>
    <w:multiLevelType w:val="hybridMultilevel"/>
    <w:tmpl w:val="1E7AB0FA"/>
    <w:lvl w:ilvl="0" w:tplc="4D4A6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17"/>
  </w:num>
  <w:num w:numId="9">
    <w:abstractNumId w:val="6"/>
  </w:num>
  <w:num w:numId="10">
    <w:abstractNumId w:val="16"/>
  </w:num>
  <w:num w:numId="11">
    <w:abstractNumId w:val="12"/>
  </w:num>
  <w:num w:numId="12">
    <w:abstractNumId w:val="10"/>
  </w:num>
  <w:num w:numId="13">
    <w:abstractNumId w:val="26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8"/>
  </w:num>
  <w:num w:numId="23">
    <w:abstractNumId w:val="25"/>
  </w:num>
  <w:num w:numId="24">
    <w:abstractNumId w:val="3"/>
  </w:num>
  <w:num w:numId="25">
    <w:abstractNumId w:val="11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660A0"/>
    <w:rsid w:val="000804AF"/>
    <w:rsid w:val="00083A2C"/>
    <w:rsid w:val="000A136A"/>
    <w:rsid w:val="000B7277"/>
    <w:rsid w:val="000C3E19"/>
    <w:rsid w:val="000D6AEA"/>
    <w:rsid w:val="000E599F"/>
    <w:rsid w:val="000E7BD6"/>
    <w:rsid w:val="000F3861"/>
    <w:rsid w:val="000F447D"/>
    <w:rsid w:val="000F5132"/>
    <w:rsid w:val="00106AE1"/>
    <w:rsid w:val="00115188"/>
    <w:rsid w:val="0011539B"/>
    <w:rsid w:val="0012133F"/>
    <w:rsid w:val="0012364E"/>
    <w:rsid w:val="001267E9"/>
    <w:rsid w:val="00126B2B"/>
    <w:rsid w:val="00127DE7"/>
    <w:rsid w:val="00150699"/>
    <w:rsid w:val="00150D33"/>
    <w:rsid w:val="001524EB"/>
    <w:rsid w:val="00153B5C"/>
    <w:rsid w:val="00155F39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781"/>
    <w:rsid w:val="002D3F16"/>
    <w:rsid w:val="002D3F8E"/>
    <w:rsid w:val="002E0797"/>
    <w:rsid w:val="002E305C"/>
    <w:rsid w:val="00312416"/>
    <w:rsid w:val="00326378"/>
    <w:rsid w:val="003337A8"/>
    <w:rsid w:val="00333BD6"/>
    <w:rsid w:val="00334293"/>
    <w:rsid w:val="00346A7A"/>
    <w:rsid w:val="00352064"/>
    <w:rsid w:val="00361C4E"/>
    <w:rsid w:val="0037447C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E4914"/>
    <w:rsid w:val="003F1D72"/>
    <w:rsid w:val="0040290B"/>
    <w:rsid w:val="00405875"/>
    <w:rsid w:val="004100B4"/>
    <w:rsid w:val="0042592C"/>
    <w:rsid w:val="00426A83"/>
    <w:rsid w:val="00430463"/>
    <w:rsid w:val="00430E53"/>
    <w:rsid w:val="00433581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B5C2D"/>
    <w:rsid w:val="004C34C8"/>
    <w:rsid w:val="004D5818"/>
    <w:rsid w:val="004F4AA9"/>
    <w:rsid w:val="005158C7"/>
    <w:rsid w:val="00521D9B"/>
    <w:rsid w:val="00527474"/>
    <w:rsid w:val="00530E83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4B9"/>
    <w:rsid w:val="005948F9"/>
    <w:rsid w:val="005A3212"/>
    <w:rsid w:val="005A669E"/>
    <w:rsid w:val="005C0E21"/>
    <w:rsid w:val="005D292F"/>
    <w:rsid w:val="005D35D2"/>
    <w:rsid w:val="005D4E8A"/>
    <w:rsid w:val="005D551F"/>
    <w:rsid w:val="005F1B42"/>
    <w:rsid w:val="005F3422"/>
    <w:rsid w:val="005F5AB3"/>
    <w:rsid w:val="006048CB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D13D5"/>
    <w:rsid w:val="006E3F82"/>
    <w:rsid w:val="006E70DF"/>
    <w:rsid w:val="006F2B7E"/>
    <w:rsid w:val="00700E81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A5881"/>
    <w:rsid w:val="007B5F27"/>
    <w:rsid w:val="007C214E"/>
    <w:rsid w:val="007C23FF"/>
    <w:rsid w:val="007D4D0A"/>
    <w:rsid w:val="007D7D6E"/>
    <w:rsid w:val="007E2E2D"/>
    <w:rsid w:val="007E31E1"/>
    <w:rsid w:val="008334A2"/>
    <w:rsid w:val="00840425"/>
    <w:rsid w:val="0084243C"/>
    <w:rsid w:val="00855F71"/>
    <w:rsid w:val="00863CAB"/>
    <w:rsid w:val="00866689"/>
    <w:rsid w:val="00873E56"/>
    <w:rsid w:val="008741D6"/>
    <w:rsid w:val="00874504"/>
    <w:rsid w:val="00880DA6"/>
    <w:rsid w:val="008E4DCF"/>
    <w:rsid w:val="00904BF2"/>
    <w:rsid w:val="009124A6"/>
    <w:rsid w:val="00921C41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D56D5"/>
    <w:rsid w:val="009E7C74"/>
    <w:rsid w:val="009F370E"/>
    <w:rsid w:val="009F62DD"/>
    <w:rsid w:val="009F7775"/>
    <w:rsid w:val="009F7BD1"/>
    <w:rsid w:val="00A147B2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70DA"/>
    <w:rsid w:val="00AB75A8"/>
    <w:rsid w:val="00AD2AC8"/>
    <w:rsid w:val="00AD386C"/>
    <w:rsid w:val="00AD467B"/>
    <w:rsid w:val="00AE2E39"/>
    <w:rsid w:val="00AF5AD2"/>
    <w:rsid w:val="00B12412"/>
    <w:rsid w:val="00B12FF7"/>
    <w:rsid w:val="00B14321"/>
    <w:rsid w:val="00B17272"/>
    <w:rsid w:val="00B20FBD"/>
    <w:rsid w:val="00B61A89"/>
    <w:rsid w:val="00B84BF6"/>
    <w:rsid w:val="00B85C76"/>
    <w:rsid w:val="00B94FA8"/>
    <w:rsid w:val="00BB1BE0"/>
    <w:rsid w:val="00BB69E9"/>
    <w:rsid w:val="00BC57ED"/>
    <w:rsid w:val="00BC7404"/>
    <w:rsid w:val="00BE6662"/>
    <w:rsid w:val="00BE7D8A"/>
    <w:rsid w:val="00BF0C89"/>
    <w:rsid w:val="00C011C1"/>
    <w:rsid w:val="00C06A6A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90BF8"/>
    <w:rsid w:val="00CD3077"/>
    <w:rsid w:val="00CD34B1"/>
    <w:rsid w:val="00CE6D63"/>
    <w:rsid w:val="00CF1E00"/>
    <w:rsid w:val="00D0577D"/>
    <w:rsid w:val="00D13261"/>
    <w:rsid w:val="00D23593"/>
    <w:rsid w:val="00D328C5"/>
    <w:rsid w:val="00D419D5"/>
    <w:rsid w:val="00D45386"/>
    <w:rsid w:val="00D52B5D"/>
    <w:rsid w:val="00D60F0B"/>
    <w:rsid w:val="00D6165E"/>
    <w:rsid w:val="00D7013B"/>
    <w:rsid w:val="00D871B0"/>
    <w:rsid w:val="00DC15AE"/>
    <w:rsid w:val="00DC1E2A"/>
    <w:rsid w:val="00DD7B7A"/>
    <w:rsid w:val="00DE589A"/>
    <w:rsid w:val="00DE63D4"/>
    <w:rsid w:val="00E05DDF"/>
    <w:rsid w:val="00E139D2"/>
    <w:rsid w:val="00E227CC"/>
    <w:rsid w:val="00E31059"/>
    <w:rsid w:val="00E348C6"/>
    <w:rsid w:val="00E419CF"/>
    <w:rsid w:val="00E60DB9"/>
    <w:rsid w:val="00E611B6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12265"/>
    <w:rsid w:val="00F17BB5"/>
    <w:rsid w:val="00F25104"/>
    <w:rsid w:val="00F30AB8"/>
    <w:rsid w:val="00F35ADF"/>
    <w:rsid w:val="00F44B26"/>
    <w:rsid w:val="00F472D3"/>
    <w:rsid w:val="00F64375"/>
    <w:rsid w:val="00F75A02"/>
    <w:rsid w:val="00F767C0"/>
    <w:rsid w:val="00F8266D"/>
    <w:rsid w:val="00F85610"/>
    <w:rsid w:val="00FA3994"/>
    <w:rsid w:val="00FA791C"/>
    <w:rsid w:val="00FC1969"/>
    <w:rsid w:val="00FC265C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qFormat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7E6D-977E-43F5-8449-D05B99C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204</cp:revision>
  <cp:lastPrinted>2021-12-13T09:26:00Z</cp:lastPrinted>
  <dcterms:created xsi:type="dcterms:W3CDTF">2013-03-08T08:20:00Z</dcterms:created>
  <dcterms:modified xsi:type="dcterms:W3CDTF">2021-12-13T11:14:00Z</dcterms:modified>
</cp:coreProperties>
</file>