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986D87" w:rsidRPr="00986D87" w:rsidRDefault="00986D8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>
        <w:rPr>
          <w:rStyle w:val="FontStyle86"/>
          <w:rFonts w:ascii="Times New Roman" w:hAnsi="Times New Roman" w:cs="Times New Roman"/>
          <w:b w:val="0"/>
          <w:i w:val="0"/>
        </w:rPr>
        <w:t>Председник општине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DA15F2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2E09DA">
        <w:rPr>
          <w:rStyle w:val="FontStyle86"/>
          <w:rFonts w:ascii="Times New Roman" w:hAnsi="Times New Roman" w:cs="Times New Roman"/>
          <w:b w:val="0"/>
          <w:i w:val="0"/>
        </w:rPr>
        <w:t>5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2E09DA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190013">
        <w:rPr>
          <w:rStyle w:val="FontStyle86"/>
          <w:rFonts w:ascii="Times New Roman" w:hAnsi="Times New Roman" w:cs="Times New Roman"/>
          <w:b w:val="0"/>
          <w:i w:val="0"/>
        </w:rPr>
        <w:t>7</w:t>
      </w:r>
      <w:r w:rsidR="00FE7C31">
        <w:rPr>
          <w:rStyle w:val="FontStyle86"/>
          <w:rFonts w:ascii="Times New Roman" w:hAnsi="Times New Roman" w:cs="Times New Roman"/>
          <w:b w:val="0"/>
          <w:i w:val="0"/>
        </w:rPr>
        <w:t>.12</w:t>
      </w:r>
      <w:r w:rsidR="00DA15F2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2E09DA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добара-полупорталних решеткастих стубова за ношење саобраћајне или обавештајне сигнализације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F92F02" w:rsidRPr="00DA1777" w:rsidRDefault="00F92F02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190013" w:rsidP="00FE7C3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DA15F2">
              <w:rPr>
                <w:rFonts w:ascii="Times New Roman" w:hAnsi="Times New Roman"/>
                <w:sz w:val="24"/>
                <w:szCs w:val="24"/>
              </w:rPr>
              <w:t>1</w:t>
            </w:r>
            <w:r w:rsidR="00F92F02">
              <w:rPr>
                <w:rFonts w:ascii="Times New Roman" w:hAnsi="Times New Roman"/>
                <w:sz w:val="24"/>
                <w:szCs w:val="24"/>
              </w:rPr>
              <w:t>2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.2020.године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9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014A35" w:rsidRPr="009A2DBD" w:rsidTr="00DA1777">
        <w:tc>
          <w:tcPr>
            <w:tcW w:w="2268" w:type="dxa"/>
          </w:tcPr>
          <w:p w:rsidR="00014A35" w:rsidRPr="009A2DBD" w:rsidRDefault="00014A35" w:rsidP="000617C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014A35" w:rsidRPr="009A2DBD" w:rsidRDefault="00014A35" w:rsidP="00014A35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014A35" w:rsidRDefault="00014A35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DA15F2">
        <w:rPr>
          <w:rStyle w:val="FontStyle86"/>
          <w:rFonts w:ascii="Times New Roman" w:hAnsi="Times New Roman" w:cs="Times New Roman"/>
          <w:i w:val="0"/>
        </w:rPr>
        <w:t>2</w:t>
      </w:r>
      <w:r w:rsidR="002E09DA">
        <w:rPr>
          <w:rStyle w:val="FontStyle86"/>
          <w:rFonts w:ascii="Times New Roman" w:hAnsi="Times New Roman" w:cs="Times New Roman"/>
          <w:i w:val="0"/>
        </w:rPr>
        <w:t>5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801D4E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801D4E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801D4E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  <w:proofErr w:type="spellEnd"/>
    </w:p>
    <w:p w:rsidR="00F75FEA" w:rsidRDefault="00F75FEA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3161FC" w:rsidRDefault="003161FC" w:rsidP="00F81868">
      <w:pPr>
        <w:tabs>
          <w:tab w:val="right" w:pos="9360"/>
        </w:tabs>
        <w:rPr>
          <w:rFonts w:ascii="Times New Roman" w:hAnsi="Times New Roman"/>
          <w:bCs/>
          <w:color w:val="FF0000"/>
        </w:rPr>
      </w:pPr>
      <w:r w:rsidRPr="00573D50">
        <w:rPr>
          <w:color w:val="FF0000"/>
        </w:rPr>
        <w:tab/>
      </w:r>
    </w:p>
    <w:p w:rsidR="00F81868" w:rsidRPr="00F81868" w:rsidRDefault="00F81868" w:rsidP="00F81868">
      <w:pPr>
        <w:tabs>
          <w:tab w:val="right" w:pos="9360"/>
        </w:tabs>
        <w:rPr>
          <w:rStyle w:val="FontStyle88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01D4E" w:rsidRDefault="00801D4E" w:rsidP="003161F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801D4E" w:rsidRDefault="00801D4E" w:rsidP="003161F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801D4E" w:rsidRDefault="00801D4E" w:rsidP="003161F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801D4E" w:rsidRDefault="00801D4E" w:rsidP="003161F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801D4E" w:rsidRDefault="00801D4E" w:rsidP="003161F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801D4E" w:rsidRDefault="00801D4E" w:rsidP="003161F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801D4E" w:rsidRDefault="00801D4E" w:rsidP="003161F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3161F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81868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81868" w:rsidRPr="00F81868">
        <w:rPr>
          <w:rStyle w:val="FontStyle86"/>
          <w:rFonts w:ascii="Times New Roman" w:hAnsi="Times New Roman" w:cs="Times New Roman"/>
          <w:i w:val="0"/>
          <w:lang w:val="sr-Cyrl-CS"/>
        </w:rPr>
        <w:t xml:space="preserve">добара-полупорталних решеткастих стубова </w:t>
      </w:r>
    </w:p>
    <w:p w:rsidR="00FE1012" w:rsidRPr="00F81868" w:rsidRDefault="00F81868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r w:rsidRPr="00F81868">
        <w:rPr>
          <w:rStyle w:val="FontStyle86"/>
          <w:rFonts w:ascii="Times New Roman" w:hAnsi="Times New Roman" w:cs="Times New Roman"/>
          <w:i w:val="0"/>
          <w:lang w:val="sr-Cyrl-CS"/>
        </w:rPr>
        <w:t>за ношење саобраћајне или обавештајне сигнализације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10"/>
        <w:gridCol w:w="4050"/>
        <w:gridCol w:w="990"/>
        <w:gridCol w:w="990"/>
        <w:gridCol w:w="1713"/>
        <w:gridCol w:w="1797"/>
      </w:tblGrid>
      <w:tr w:rsidR="003161FC" w:rsidRPr="00FC3E95" w:rsidTr="00F74053">
        <w:tc>
          <w:tcPr>
            <w:tcW w:w="810" w:type="dxa"/>
          </w:tcPr>
          <w:p w:rsidR="003161FC" w:rsidRPr="00FC3E95" w:rsidRDefault="003161FC" w:rsidP="00F740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95"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3161FC" w:rsidRPr="00FC3E95" w:rsidRDefault="003161FC" w:rsidP="00F74053">
            <w:pPr>
              <w:spacing w:before="5" w:line="242" w:lineRule="auto"/>
              <w:ind w:left="87" w:right="59"/>
              <w:jc w:val="center"/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  <w:t>Опис радова</w:t>
            </w:r>
          </w:p>
        </w:tc>
        <w:tc>
          <w:tcPr>
            <w:tcW w:w="990" w:type="dxa"/>
          </w:tcPr>
          <w:p w:rsidR="003161FC" w:rsidRPr="00FC3E95" w:rsidRDefault="003161FC" w:rsidP="00F74053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Јед.</w:t>
            </w:r>
            <w:r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мере</w:t>
            </w:r>
          </w:p>
          <w:p w:rsidR="003161FC" w:rsidRPr="00FC3E95" w:rsidRDefault="003161FC" w:rsidP="00F740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161FC" w:rsidRPr="00FC3E95" w:rsidRDefault="003161FC" w:rsidP="00F74053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3161FC" w:rsidRPr="00FC3E95" w:rsidRDefault="003161FC" w:rsidP="00F74053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Цена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јед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.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мере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без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пдв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-а </w:t>
            </w:r>
          </w:p>
        </w:tc>
        <w:tc>
          <w:tcPr>
            <w:tcW w:w="1797" w:type="dxa"/>
          </w:tcPr>
          <w:p w:rsidR="003161FC" w:rsidRPr="00FC3E95" w:rsidRDefault="003161FC" w:rsidP="00F74053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Укупна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цена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без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пдв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-а </w:t>
            </w:r>
          </w:p>
        </w:tc>
      </w:tr>
      <w:tr w:rsidR="003161FC" w:rsidRPr="00FC3E95" w:rsidTr="003161FC">
        <w:trPr>
          <w:trHeight w:val="4328"/>
        </w:trPr>
        <w:tc>
          <w:tcPr>
            <w:tcW w:w="810" w:type="dxa"/>
          </w:tcPr>
          <w:p w:rsidR="003161FC" w:rsidRPr="00FC3E95" w:rsidRDefault="003161FC" w:rsidP="00F74053">
            <w:pPr>
              <w:ind w:right="153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F81868" w:rsidRDefault="00F81868" w:rsidP="00F818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олупортални решеткасти стуб, за ношење саобраћајне и.ли обавештајне сигнализације, висине до доње тачке конструкције 5,5м, ефективног отклона решетке- дужине пројекције на коловозу 4,6м, са анкер корпом топлоцинкован према </w:t>
            </w:r>
            <w:r>
              <w:rPr>
                <w:rFonts w:ascii="Times New Roman" w:hAnsi="Times New Roman"/>
                <w:sz w:val="24"/>
                <w:szCs w:val="24"/>
              </w:rPr>
              <w:t>EN ISO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1461 стандарду, комплет са потребним вијцима за монтажу решеткасте конзоле, монтажу носећег стуба на анкер. На носећем стубу обавезан је ревизорни отвор са поклопцем за смештај електро опреме. Поклопац у равни стуба са окапницом изнад. </w:t>
            </w:r>
          </w:p>
          <w:p w:rsidR="00F81868" w:rsidRPr="00907762" w:rsidRDefault="00F81868" w:rsidP="00F818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-Испорука полупортала са анкер корпама, без земљано бетонских радова и монтаже.</w:t>
            </w:r>
          </w:p>
          <w:p w:rsidR="00F81868" w:rsidRDefault="00F81868" w:rsidP="00F818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-Приликом испоруке добара је неопходно доставити комплетан пројекат стуба са статичким прорачуном, прорачуном темеља, атест за извршено топлоцинковање, атесте вариоца.</w:t>
            </w:r>
          </w:p>
          <w:p w:rsidR="003161FC" w:rsidRPr="003161FC" w:rsidRDefault="003161FC" w:rsidP="007B043E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90" w:type="dxa"/>
          </w:tcPr>
          <w:p w:rsidR="003161FC" w:rsidRPr="00F81868" w:rsidRDefault="008E7144" w:rsidP="00F7405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</w:t>
            </w:r>
            <w:r w:rsidR="00F81868">
              <w:rPr>
                <w:rFonts w:ascii="Times New Roman" w:hAnsi="Times New Roman"/>
                <w:noProof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3161FC" w:rsidRPr="00FC3E95" w:rsidRDefault="003161FC" w:rsidP="00F7405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161FC" w:rsidRPr="00F81868" w:rsidRDefault="00F81868" w:rsidP="00F7405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  <w:p w:rsidR="003161FC" w:rsidRPr="00FC3E95" w:rsidRDefault="003161FC" w:rsidP="00F7405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161FC" w:rsidRDefault="003161FC" w:rsidP="003161FC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161FC" w:rsidRPr="00852F4F" w:rsidRDefault="003161FC" w:rsidP="00F74053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1797" w:type="dxa"/>
          </w:tcPr>
          <w:p w:rsidR="003161FC" w:rsidRPr="00FC3E95" w:rsidRDefault="003161FC" w:rsidP="00F74053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F81868" w:rsidRPr="00FC3E95" w:rsidTr="000B4906">
        <w:trPr>
          <w:trHeight w:val="377"/>
        </w:trPr>
        <w:tc>
          <w:tcPr>
            <w:tcW w:w="8553" w:type="dxa"/>
            <w:gridSpan w:val="5"/>
          </w:tcPr>
          <w:p w:rsidR="009530C2" w:rsidRPr="009530C2" w:rsidRDefault="009530C2" w:rsidP="009530C2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lastRenderedPageBreak/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  <w:r w:rsidR="00F81868"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797" w:type="dxa"/>
          </w:tcPr>
          <w:p w:rsidR="00F81868" w:rsidRPr="003161FC" w:rsidRDefault="00F81868" w:rsidP="003161FC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F81868" w:rsidRPr="00FC3E95" w:rsidTr="009E76F6">
        <w:tc>
          <w:tcPr>
            <w:tcW w:w="8553" w:type="dxa"/>
            <w:gridSpan w:val="5"/>
          </w:tcPr>
          <w:p w:rsidR="009530C2" w:rsidRDefault="009530C2" w:rsidP="009530C2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Укупно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са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пдв-ом</w:t>
            </w:r>
            <w:proofErr w:type="spellEnd"/>
          </w:p>
          <w:p w:rsidR="00F81868" w:rsidRPr="00852F4F" w:rsidRDefault="00F81868" w:rsidP="009530C2">
            <w:pPr>
              <w:jc w:val="right"/>
              <w:rPr>
                <w:rFonts w:ascii="Times New Roman" w:hAnsi="Times New Roman"/>
                <w:lang w:eastAsia="sr-Cyrl-CS"/>
              </w:rPr>
            </w:pPr>
          </w:p>
        </w:tc>
        <w:tc>
          <w:tcPr>
            <w:tcW w:w="1797" w:type="dxa"/>
          </w:tcPr>
          <w:p w:rsidR="00F81868" w:rsidRDefault="00F81868" w:rsidP="00F74053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  <w:p w:rsidR="00F81868" w:rsidRPr="003161FC" w:rsidRDefault="00F81868" w:rsidP="00F74053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9530C2" w:rsidRDefault="009530C2" w:rsidP="00FC3E95">
      <w:pPr>
        <w:rPr>
          <w:rFonts w:ascii="Times New Roman" w:hAnsi="Times New Roman"/>
          <w:lang w:eastAsia="sr-Cyrl-CS"/>
        </w:rPr>
      </w:pPr>
    </w:p>
    <w:p w:rsidR="009530C2" w:rsidRDefault="009530C2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D31D8A" w:rsidRPr="003161FC" w:rsidRDefault="00FC3E95" w:rsidP="003161FC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sectPr w:rsidR="00DA1777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BF5" w:rsidRDefault="00833BF5" w:rsidP="00614430">
      <w:r>
        <w:separator/>
      </w:r>
    </w:p>
  </w:endnote>
  <w:endnote w:type="continuationSeparator" w:id="0">
    <w:p w:rsidR="00833BF5" w:rsidRDefault="00833BF5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BF5" w:rsidRDefault="00833BF5" w:rsidP="00614430">
      <w:r>
        <w:separator/>
      </w:r>
    </w:p>
  </w:footnote>
  <w:footnote w:type="continuationSeparator" w:id="0">
    <w:p w:rsidR="00833BF5" w:rsidRDefault="00833BF5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414"/>
    <w:multiLevelType w:val="hybridMultilevel"/>
    <w:tmpl w:val="5B402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27B16D58"/>
    <w:multiLevelType w:val="hybridMultilevel"/>
    <w:tmpl w:val="0EEE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69245820"/>
    <w:multiLevelType w:val="hybridMultilevel"/>
    <w:tmpl w:val="CB38A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14A35"/>
    <w:rsid w:val="0006130E"/>
    <w:rsid w:val="0006562F"/>
    <w:rsid w:val="00083A2C"/>
    <w:rsid w:val="00095E74"/>
    <w:rsid w:val="000B7277"/>
    <w:rsid w:val="000C3E19"/>
    <w:rsid w:val="000E7BD6"/>
    <w:rsid w:val="000F3861"/>
    <w:rsid w:val="00115188"/>
    <w:rsid w:val="0012364E"/>
    <w:rsid w:val="001255B4"/>
    <w:rsid w:val="001267E9"/>
    <w:rsid w:val="00127DE7"/>
    <w:rsid w:val="00131E21"/>
    <w:rsid w:val="001338AA"/>
    <w:rsid w:val="00150699"/>
    <w:rsid w:val="00150D33"/>
    <w:rsid w:val="001524EB"/>
    <w:rsid w:val="00160D4B"/>
    <w:rsid w:val="00170600"/>
    <w:rsid w:val="00190013"/>
    <w:rsid w:val="001A660D"/>
    <w:rsid w:val="001B2145"/>
    <w:rsid w:val="001B2830"/>
    <w:rsid w:val="001B2BE4"/>
    <w:rsid w:val="001B4676"/>
    <w:rsid w:val="001C4FB5"/>
    <w:rsid w:val="001F622A"/>
    <w:rsid w:val="00201EB0"/>
    <w:rsid w:val="002220E1"/>
    <w:rsid w:val="00237D3D"/>
    <w:rsid w:val="0024022F"/>
    <w:rsid w:val="00244209"/>
    <w:rsid w:val="002512C7"/>
    <w:rsid w:val="00253334"/>
    <w:rsid w:val="002543B8"/>
    <w:rsid w:val="00255301"/>
    <w:rsid w:val="00255B2C"/>
    <w:rsid w:val="00261409"/>
    <w:rsid w:val="002742C1"/>
    <w:rsid w:val="00283709"/>
    <w:rsid w:val="002911FC"/>
    <w:rsid w:val="00296596"/>
    <w:rsid w:val="002A08FC"/>
    <w:rsid w:val="002A5776"/>
    <w:rsid w:val="002E0797"/>
    <w:rsid w:val="002E09DA"/>
    <w:rsid w:val="002E305C"/>
    <w:rsid w:val="0030440A"/>
    <w:rsid w:val="003161FC"/>
    <w:rsid w:val="00333BD6"/>
    <w:rsid w:val="00346A7A"/>
    <w:rsid w:val="003766F6"/>
    <w:rsid w:val="0039275E"/>
    <w:rsid w:val="00396658"/>
    <w:rsid w:val="003B1B60"/>
    <w:rsid w:val="003D6A0E"/>
    <w:rsid w:val="003D785E"/>
    <w:rsid w:val="003E1AC7"/>
    <w:rsid w:val="003F1D72"/>
    <w:rsid w:val="00441186"/>
    <w:rsid w:val="0044433F"/>
    <w:rsid w:val="00453722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1625"/>
    <w:rsid w:val="00543C6A"/>
    <w:rsid w:val="00546F7B"/>
    <w:rsid w:val="0056209D"/>
    <w:rsid w:val="005641AA"/>
    <w:rsid w:val="00573D50"/>
    <w:rsid w:val="005754FC"/>
    <w:rsid w:val="0059033E"/>
    <w:rsid w:val="0059441A"/>
    <w:rsid w:val="005948F9"/>
    <w:rsid w:val="005A3212"/>
    <w:rsid w:val="005A669E"/>
    <w:rsid w:val="005B6A98"/>
    <w:rsid w:val="005C0E21"/>
    <w:rsid w:val="005D11ED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53467"/>
    <w:rsid w:val="006616EC"/>
    <w:rsid w:val="00680AC1"/>
    <w:rsid w:val="006877A8"/>
    <w:rsid w:val="00692A3B"/>
    <w:rsid w:val="00693726"/>
    <w:rsid w:val="006C072E"/>
    <w:rsid w:val="006C61A2"/>
    <w:rsid w:val="006D0575"/>
    <w:rsid w:val="006D0E10"/>
    <w:rsid w:val="006E4090"/>
    <w:rsid w:val="006E70DF"/>
    <w:rsid w:val="006F3FF4"/>
    <w:rsid w:val="006F4E83"/>
    <w:rsid w:val="006F6248"/>
    <w:rsid w:val="00703A8D"/>
    <w:rsid w:val="00721C12"/>
    <w:rsid w:val="00722C70"/>
    <w:rsid w:val="00727A4A"/>
    <w:rsid w:val="0073571F"/>
    <w:rsid w:val="00736CDD"/>
    <w:rsid w:val="007405EF"/>
    <w:rsid w:val="00773096"/>
    <w:rsid w:val="0077496C"/>
    <w:rsid w:val="0077699E"/>
    <w:rsid w:val="00794B83"/>
    <w:rsid w:val="007A2998"/>
    <w:rsid w:val="007A522E"/>
    <w:rsid w:val="007B043E"/>
    <w:rsid w:val="007B5F27"/>
    <w:rsid w:val="007C23FF"/>
    <w:rsid w:val="007C6359"/>
    <w:rsid w:val="007D4D0A"/>
    <w:rsid w:val="007D7D6E"/>
    <w:rsid w:val="007E2E2D"/>
    <w:rsid w:val="007E31E1"/>
    <w:rsid w:val="00801D4E"/>
    <w:rsid w:val="00804019"/>
    <w:rsid w:val="00810019"/>
    <w:rsid w:val="008200D8"/>
    <w:rsid w:val="00833BF5"/>
    <w:rsid w:val="00840425"/>
    <w:rsid w:val="008437E9"/>
    <w:rsid w:val="00852F4F"/>
    <w:rsid w:val="00855F71"/>
    <w:rsid w:val="00856704"/>
    <w:rsid w:val="00873E56"/>
    <w:rsid w:val="008741D6"/>
    <w:rsid w:val="00877C99"/>
    <w:rsid w:val="00880DA6"/>
    <w:rsid w:val="008A1383"/>
    <w:rsid w:val="008B4CB1"/>
    <w:rsid w:val="008C48D7"/>
    <w:rsid w:val="008E4DCF"/>
    <w:rsid w:val="008E7144"/>
    <w:rsid w:val="008E7682"/>
    <w:rsid w:val="00910EF3"/>
    <w:rsid w:val="009124A6"/>
    <w:rsid w:val="009129B4"/>
    <w:rsid w:val="009155A8"/>
    <w:rsid w:val="00923DB4"/>
    <w:rsid w:val="009530C2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C1DB3"/>
    <w:rsid w:val="009D105F"/>
    <w:rsid w:val="009D27A1"/>
    <w:rsid w:val="009D3D28"/>
    <w:rsid w:val="009E5BC7"/>
    <w:rsid w:val="009E7C74"/>
    <w:rsid w:val="009F62DD"/>
    <w:rsid w:val="009F7775"/>
    <w:rsid w:val="00A17CD7"/>
    <w:rsid w:val="00A32B9B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B12412"/>
    <w:rsid w:val="00B12FF7"/>
    <w:rsid w:val="00B17272"/>
    <w:rsid w:val="00B8620D"/>
    <w:rsid w:val="00B94FA8"/>
    <w:rsid w:val="00BA654C"/>
    <w:rsid w:val="00BB1BE0"/>
    <w:rsid w:val="00BD647D"/>
    <w:rsid w:val="00BE3838"/>
    <w:rsid w:val="00BE6662"/>
    <w:rsid w:val="00C13FB7"/>
    <w:rsid w:val="00C22504"/>
    <w:rsid w:val="00C26F2C"/>
    <w:rsid w:val="00C2744D"/>
    <w:rsid w:val="00C277F1"/>
    <w:rsid w:val="00C315CB"/>
    <w:rsid w:val="00C32DB9"/>
    <w:rsid w:val="00C569BD"/>
    <w:rsid w:val="00C90BF8"/>
    <w:rsid w:val="00CB5A75"/>
    <w:rsid w:val="00CE6D63"/>
    <w:rsid w:val="00D0577D"/>
    <w:rsid w:val="00D23593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96467"/>
    <w:rsid w:val="00DA15F2"/>
    <w:rsid w:val="00DA1777"/>
    <w:rsid w:val="00DB7790"/>
    <w:rsid w:val="00DC15AE"/>
    <w:rsid w:val="00DC5218"/>
    <w:rsid w:val="00DD0A7A"/>
    <w:rsid w:val="00DD7B7A"/>
    <w:rsid w:val="00DE589A"/>
    <w:rsid w:val="00DE63D4"/>
    <w:rsid w:val="00DF08D2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1A21"/>
    <w:rsid w:val="00F64375"/>
    <w:rsid w:val="00F737A5"/>
    <w:rsid w:val="00F75FEA"/>
    <w:rsid w:val="00F767C0"/>
    <w:rsid w:val="00F81868"/>
    <w:rsid w:val="00F85610"/>
    <w:rsid w:val="00F92F02"/>
    <w:rsid w:val="00FC3E95"/>
    <w:rsid w:val="00FC7446"/>
    <w:rsid w:val="00FD201C"/>
    <w:rsid w:val="00FE1012"/>
    <w:rsid w:val="00FE25C0"/>
    <w:rsid w:val="00FE5096"/>
    <w:rsid w:val="00FE7C31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FDDE-FC49-4D05-8B4D-A7873748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147</cp:revision>
  <cp:lastPrinted>2020-11-27T11:47:00Z</cp:lastPrinted>
  <dcterms:created xsi:type="dcterms:W3CDTF">2013-03-08T08:20:00Z</dcterms:created>
  <dcterms:modified xsi:type="dcterms:W3CDTF">2020-12-17T12:43:00Z</dcterms:modified>
</cp:coreProperties>
</file>